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E9" w:rsidRP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  <w:r w:rsidRPr="00BD48E9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  <w:t xml:space="preserve">ҚАЗАҚСТАН РЕСПУБЛИКАСЫНЫҢ БІЛІМ ЖӘНЕ ҒЫЛЫМ МИНИСТРЛІГІ ӨСКЕМЕН ҚАЛАСЫНЫҢ БІЛІМ БЕРУ БӨЛІМІ </w:t>
      </w: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  <w:r w:rsidRPr="00BD48E9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  <w:t>«Шоқан Уәлиханов атындағы №3 мектеп-лицейі» КММ</w:t>
      </w: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  <w:t>«ҮЗДІК МЕНЕДЖЕР- 2019» байқауы</w:t>
      </w: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  <w:t>САГАТОВА ГУЛЬНУР КАНАТОВНА</w:t>
      </w: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P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  <w:t>МЕКТЕПКЕ ДЕЙІНГІ ҰЙЫМДАҒЫ ӘДІСТЕМЕЛІК ЖҰМЫСТЫ ҰЙЫМДАСТЫРУДЫҢ ИННОВАЦИЯЛЫҚ БАҒЫТЫ</w:t>
      </w:r>
    </w:p>
    <w:p w:rsidR="00BD48E9" w:rsidRDefault="00BD48E9" w:rsidP="00BD48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BD48E9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 </w:t>
      </w:r>
    </w:p>
    <w:p w:rsidR="00BD48E9" w:rsidRPr="00BD48E9" w:rsidRDefault="00BD48E9" w:rsidP="00BD48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  <w:t>БАЯНДАМА</w:t>
      </w: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  <w:t>Өскемен, 2019</w:t>
      </w:r>
    </w:p>
    <w:p w:rsidR="00BD48E9" w:rsidRPr="00BD48E9" w:rsidRDefault="00BD48E9" w:rsidP="00BD48E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val="kk-KZ" w:eastAsia="ru-RU"/>
        </w:rPr>
      </w:pPr>
    </w:p>
    <w:p w:rsidR="00BD48E9" w:rsidRPr="00BD48E9" w:rsidRDefault="00BD48E9" w:rsidP="00D96FE6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kk-KZ" w:eastAsia="ru-RU"/>
        </w:rPr>
      </w:pPr>
    </w:p>
    <w:p w:rsidR="00CD4281" w:rsidRPr="003E5BAE" w:rsidRDefault="00BD48E9" w:rsidP="003E5BAE">
      <w:pPr>
        <w:pStyle w:val="a9"/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kk-KZ" w:eastAsia="ru-RU"/>
        </w:rPr>
      </w:pPr>
      <w:r w:rsidRPr="003E5BA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kk-KZ" w:eastAsia="ru-RU"/>
        </w:rPr>
        <w:lastRenderedPageBreak/>
        <w:t>Саг</w:t>
      </w:r>
      <w:r w:rsidR="002D69C4" w:rsidRPr="003E5BA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kk-KZ" w:eastAsia="ru-RU"/>
        </w:rPr>
        <w:t>атова Гульнур Канатовна</w:t>
      </w:r>
      <w:r w:rsidR="003E5BAE" w:rsidRPr="003E5BA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kk-KZ" w:eastAsia="ru-RU"/>
        </w:rPr>
        <w:t>, әдіскер, еңбек өтілі 4 жыл</w:t>
      </w:r>
      <w:r w:rsidR="003E5BAE" w:rsidRPr="003E5BA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</w:t>
      </w:r>
      <w:hyperlink r:id="rId5" w:history="1">
        <w:r w:rsidR="003E5BAE" w:rsidRPr="003E5BAE">
          <w:rPr>
            <w:rStyle w:val="a3"/>
            <w:rFonts w:ascii="Times New Roman" w:eastAsia="Times New Roman" w:hAnsi="Times New Roman" w:cs="Times New Roman"/>
            <w:bCs/>
            <w:kern w:val="36"/>
            <w:sz w:val="24"/>
            <w:szCs w:val="24"/>
            <w:lang w:val="kk-KZ" w:eastAsia="ru-RU"/>
          </w:rPr>
          <w:t>gulnura_axmetova@mail.ru</w:t>
        </w:r>
      </w:hyperlink>
    </w:p>
    <w:p w:rsidR="00803C7E" w:rsidRPr="00D96FE6" w:rsidRDefault="00CD4281" w:rsidP="00D96FE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="00F115AF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азақстан Республикасы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115AF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мектепке  дейінгі тәрбие мен оқытудың </w:t>
      </w:r>
      <w:r w:rsidR="00292E98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115AF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мемлекеттік жалпыға міндетті стандартында мектепке дейінгі ұйымдарда зияткерлік,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тұлғалық,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әлеуметтік  және  эмоционалдық дамуымен  тұлға қалыптастыру басты міндет болып берілуде.</w:t>
      </w:r>
      <w:r w:rsidR="007D2C6A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Жалпы мектепке дейінгі ұйымда тәрбиелеу мен оқыту процесінде  педагогикалық 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білімі бар тәрбиешілер қатысады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десек те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осы педагогтарға бағыт беріп,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жаңашыл әдістерді таныстырып,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білім  сапасын арттыруда  әдіскердің  алатын орны зор.</w:t>
      </w:r>
    </w:p>
    <w:p w:rsidR="00803C7E" w:rsidRPr="00D96FE6" w:rsidRDefault="00CD4281" w:rsidP="00D96FE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Әрбір ұжым,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тіпті әр педагог  педагогикалық процесте инновациялық,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яғни  жаңашыл идея  беруге құқылы.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Ал,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әдіскер жаңа идеяларды  іздестіріп,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жүзеге асыратын  бірден-бір құзыретті тұлға.</w:t>
      </w:r>
    </w:p>
    <w:p w:rsidR="00CD4281" w:rsidRPr="00D96FE6" w:rsidRDefault="00CD4281" w:rsidP="00D96FE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Республикамызда білім беруді дамыту қазіргі кезде  оқытудың дәстүрлі түрінен инновациялық үрдістерге ауысатын  өтпелі кезеңінде   және «инновация»  ұғымы  соңғы жылдардың ішінде  білім беру мекемелерінің   жаңалықтарды жасауы,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меңгеруі,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қолдануы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және таратуға байланысты бір б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өлек қызметі тұрғысынан түсіндіріледі.</w:t>
      </w:r>
      <w:r w:rsidR="00D96FE6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Қазақстанның  бүгінгі білім беру жүйесінде жа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ңа инновациялық бағытты игерген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нақты тәжірибелік іс-әрекетте  өзіндік даңғыл жол салуға  икемді,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шығармашыл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803C7E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зерттеуші педагогтар аса қажет. 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Осы сипаттағы педагогтың ең алдымен инновация туралы түсінігі  болуы қажет.</w:t>
      </w:r>
    </w:p>
    <w:p w:rsidR="00D96FE6" w:rsidRPr="00D96FE6" w:rsidRDefault="00803C7E" w:rsidP="00D96FE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Қазіргі педагогикада инновация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–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білім беру,</w:t>
      </w:r>
      <w:r w:rsidR="00270A97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тәрбиелеу жұмысына  жаңалықты енгізу,</w:t>
      </w:r>
      <w:r w:rsidR="00270A97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яғни жаңа әдіс-тәсілдерді  амалдарды,</w:t>
      </w:r>
      <w:r w:rsidR="00270A97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құралдарды,</w:t>
      </w:r>
      <w:r w:rsidR="00270A97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жаңа тұжырымдарды жасап,</w:t>
      </w:r>
      <w:r w:rsidR="00270A97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оларды қолдану ретінде анықталады.</w:t>
      </w:r>
      <w:r w:rsidR="00D96FE6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«Инновация»  термині ағылшын тілінің   </w:t>
      </w:r>
      <w:r w:rsidR="00CD4281" w:rsidRPr="00D96FE6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«innovation»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сөзінен шыққан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аударғанда «жаңалық,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жаңашылдықты енгізу» деген мағынада қолданады: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инновация  құрал  мен  процесс ретінде қандай да бір жаңалық ендіру жұмыстарын көздейді.</w:t>
      </w:r>
      <w:r w:rsidR="00D96FE6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Жаңалық бұл дәл құрал (жаңа әдіс-тәсіл,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әдістеме,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технология,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оқу бағдарламасы), ал инновация  осы құралдарды меңгеру үрдісі.</w:t>
      </w:r>
      <w:r w:rsidR="00D96FE6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Инновацияны  жете түсініп,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инновациялық әдіс-тәсілдерді 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мектепке дейінгі мекеме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өміріне кеңінен   енгізу жеткіншек ұрпақтың  саналы да,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сапалы білім алуының  бірден-бір шарты болып табылады.</w:t>
      </w:r>
      <w:r w:rsidR="00D96FE6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Инновацияны ұйымдастыру барысында  алға қойылған міндерттердің  жүйелі және бірізді  болуы маңызды.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Оң нәтиже алу үшін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келесі шарттарды ұстанған жөн.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CD4281" w:rsidRPr="00D96FE6" w:rsidRDefault="00CD4281" w:rsidP="00D96FE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Біріншісі-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инновацияны енгізуге деген мотивациялық жағдай,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яғни жаңа іс-әрекетті  қабылдауға,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әрі қарай меңгеруге деген себеп-салдардың туындауы.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Жаңашылдықтың негізгі кілті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инновацияның  педагогтың қызығушылығымен үйлесімділігі болып табылады.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Ең  алдымен  «нновация  қажет пе?» деген пікір арқылы нақты ұсыныс қабылдауға болады.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Инновациялық іс-әрекет жоспарын  қарастыра отырып,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әр педагог нақты мәселені  шешу,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оның  жалпы нәтижесі  үшін жауапкершлікті  сезінуі тиіс.</w:t>
      </w:r>
    </w:p>
    <w:p w:rsidR="002F2B02" w:rsidRPr="00D96FE6" w:rsidRDefault="00CD4281" w:rsidP="00D96FE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Екінші-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инновациялық   іс-әрекетке  дайындық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бұл құзыреттілікті  қалыптастыру деген  сөз. Осы құзыреттілік    ақпаратты қабылдау,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  және оны шынайы бағалаудан тұрады.</w:t>
      </w:r>
    </w:p>
    <w:p w:rsidR="00CD4281" w:rsidRPr="00D96FE6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Әдіскердің әдістемелік жұмысының сипаты.</w:t>
      </w:r>
    </w:p>
    <w:p w:rsidR="00CD4281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Әдістемелік жұмыстың мақсаты  ұтымды әдіс-тәсілдерді игеру,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балаларды тәрбиелеу,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оқыту мен дамыту,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білім  бееру үрдісін ұйымдастыруда педагогтардың  әдістемелік  дайындығын көтеру,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тәжірибе алмасу,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пед</w:t>
      </w:r>
      <w:r w:rsidR="00D96FE6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гогикалық озық тәжірибені насихаттау.</w:t>
      </w:r>
      <w:r w:rsidR="00D96FE6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Қазіргі таңда мектепке дейінгі ұйымдарда білім беру үрдісін нәтижелі ұйымдастыру  басты міндеттердің бір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 жалпы педагогикалық қызмет  әдістемелік жұмыспен тікелей байланысты.</w:t>
      </w:r>
      <w:r w:rsidR="00D96FE6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Әдістемелік жұмыстың өз алдына   нақтыланған формалары,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әдіс-тәсілдері  бар.</w:t>
      </w:r>
      <w:r w:rsidR="00D96FE6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Әдістемелік жұмыстың  формаларына  тоқталар болсақ,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ол жүйелі және эпизодтық,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топтық  және жеке  деп жітеледі.</w:t>
      </w:r>
      <w:r w:rsidR="00D96FE6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   әдістемелік  жұмыс  формасы педагог  қызметкерлердің  кәсіби  дайындық  деңгейін,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теориялық білімін,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тәжірибесін,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еңбек тілін,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санатын ескере отырып ұйымдастырылады.</w:t>
      </w:r>
      <w:r w:rsidR="00D96FE6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іздің  алдымыздағы  мәселе  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мектепке дейінгі мекемедегі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дәстүрлі  әдістемелік жұмысты инноваиялық бағытта жаңарту,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педагог мамандардың,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тәрибешілердің  педагогикалық  кәсіби  құзыреттілігін  жетілдіру.</w:t>
      </w:r>
      <w:r w:rsidR="00232F6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Әдістемелік жұмыстың формалары: Конференциялар, семинарлар, тамыз кеңесі, педагогикалық оқу, әдістемелік бірлестік, тәжірибе тарату мектебі және т.б. қарастыруға болады. </w:t>
      </w:r>
    </w:p>
    <w:p w:rsidR="00232F67" w:rsidRDefault="00232F67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E5BAE" w:rsidRDefault="003E5BAE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32F67" w:rsidRDefault="00232F67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32F67" w:rsidRDefault="00051DDE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84.55pt;margin-top:-22.2pt;width:36pt;height:81pt;z-index:25166848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7" type="#_x0000_t32" style="position:absolute;left:0;text-align:left;margin-left:150.3pt;margin-top:-22.2pt;width:18.75pt;height:84.75pt;flip:x;z-index:25166745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6" type="#_x0000_t32" style="position:absolute;left:0;text-align:left;margin-left:298.05pt;margin-top:-22.2pt;width:51.75pt;height:26.25pt;z-index:25166643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5" type="#_x0000_t32" style="position:absolute;left:0;text-align:left;margin-left:223.8pt;margin-top:-22.2pt;width:0;height:30pt;z-index:251665408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4" type="#_x0000_t32" style="position:absolute;left:0;text-align:left;margin-left:99.3pt;margin-top:-22.2pt;width:41.25pt;height:26.25pt;flip:x;z-index:25166438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oval id="_x0000_s1042" style="position:absolute;left:0;text-align:left;margin-left:325.05pt;margin-top:4.05pt;width:108.75pt;height:39.75pt;z-index:251663360">
            <v:textbox>
              <w:txbxContent>
                <w:p w:rsidR="00232F67" w:rsidRPr="009732E3" w:rsidRDefault="00232F67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9732E3">
                    <w:rPr>
                      <w:rFonts w:ascii="Times New Roman" w:hAnsi="Times New Roman" w:cs="Times New Roman"/>
                      <w:lang w:val="kk-KZ"/>
                    </w:rPr>
                    <w:t>тәлімгерлік</w:t>
                  </w: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oval id="_x0000_s1038" style="position:absolute;left:0;text-align:left;margin-left:19.8pt;margin-top:4.05pt;width:124.5pt;height:39.75pt;z-index:251659264">
            <v:textbox>
              <w:txbxContent>
                <w:p w:rsidR="00232F67" w:rsidRPr="009732E3" w:rsidRDefault="00232F67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9732E3">
                    <w:rPr>
                      <w:rFonts w:ascii="Times New Roman" w:hAnsi="Times New Roman" w:cs="Times New Roman"/>
                      <w:lang w:val="kk-KZ"/>
                    </w:rPr>
                    <w:t>Жеке кеңестер</w:t>
                  </w: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oval id="_x0000_s1041" style="position:absolute;left:0;text-align:left;margin-left:173.55pt;margin-top:7.8pt;width:119.25pt;height:39.75pt;z-index:251662336">
            <v:textbox>
              <w:txbxContent>
                <w:p w:rsidR="00232F67" w:rsidRPr="009732E3" w:rsidRDefault="00232F67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9732E3">
                    <w:rPr>
                      <w:rFonts w:ascii="Times New Roman" w:hAnsi="Times New Roman" w:cs="Times New Roman"/>
                      <w:lang w:val="kk-KZ"/>
                    </w:rPr>
                    <w:t>әңгімелесу</w:t>
                  </w: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037" style="position:absolute;left:0;text-align:left;margin-left:124.05pt;margin-top:-41.7pt;width:189.75pt;height:19.5pt;z-index:251658240">
            <v:textbox>
              <w:txbxContent>
                <w:p w:rsidR="00232F67" w:rsidRPr="00232F67" w:rsidRDefault="00232F67" w:rsidP="00232F67">
                  <w:pPr>
                    <w:jc w:val="center"/>
                    <w:rPr>
                      <w:rFonts w:ascii="Times New Roman" w:hAnsi="Times New Roman" w:cs="Times New Roman"/>
                      <w:lang w:val="kk-KZ"/>
                    </w:rPr>
                  </w:pPr>
                  <w:r w:rsidRPr="00232F67">
                    <w:rPr>
                      <w:rFonts w:ascii="Times New Roman" w:hAnsi="Times New Roman" w:cs="Times New Roman"/>
                      <w:lang w:val="kk-KZ"/>
                    </w:rPr>
                    <w:t>Әдістемелік жұмыста</w:t>
                  </w:r>
                  <w:r w:rsidR="009732E3">
                    <w:rPr>
                      <w:rFonts w:ascii="Times New Roman" w:hAnsi="Times New Roman" w:cs="Times New Roman"/>
                      <w:lang w:val="kk-KZ"/>
                    </w:rPr>
                    <w:t xml:space="preserve"> көзделеді</w:t>
                  </w:r>
                </w:p>
              </w:txbxContent>
            </v:textbox>
          </v:rect>
        </w:pict>
      </w:r>
    </w:p>
    <w:p w:rsidR="00232F67" w:rsidRDefault="00232F67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32F67" w:rsidRDefault="00232F67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32F67" w:rsidRDefault="00232F67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32F67" w:rsidRDefault="00051DDE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oval id="_x0000_s1039" style="position:absolute;left:0;text-align:left;margin-left:19.8pt;margin-top:3.6pt;width:180pt;height:50.25pt;z-index:251660288">
            <v:textbox>
              <w:txbxContent>
                <w:p w:rsidR="00232F67" w:rsidRPr="009732E3" w:rsidRDefault="00232F67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9732E3">
                    <w:rPr>
                      <w:rFonts w:ascii="Times New Roman" w:hAnsi="Times New Roman" w:cs="Times New Roman"/>
                      <w:lang w:val="kk-KZ"/>
                    </w:rPr>
                    <w:t>Өзара оқу іс—әрекеттерін (шараларға)</w:t>
                  </w: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oval id="_x0000_s1040" style="position:absolute;left:0;text-align:left;margin-left:256.05pt;margin-top:7.35pt;width:163.5pt;height:40.5pt;z-index:251661312">
            <v:textbox>
              <w:txbxContent>
                <w:p w:rsidR="00232F67" w:rsidRPr="009732E3" w:rsidRDefault="00232F67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9732E3">
                    <w:rPr>
                      <w:rFonts w:ascii="Times New Roman" w:hAnsi="Times New Roman" w:cs="Times New Roman"/>
                      <w:lang w:val="kk-KZ"/>
                    </w:rPr>
                    <w:t>Өз білімін жетілдіру</w:t>
                  </w:r>
                </w:p>
              </w:txbxContent>
            </v:textbox>
          </v:oval>
        </w:pict>
      </w:r>
    </w:p>
    <w:p w:rsidR="00D96FE6" w:rsidRPr="00D96FE6" w:rsidRDefault="00D96FE6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4281" w:rsidRPr="00D96FE6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p w:rsidR="00CD4281" w:rsidRDefault="00CD4281" w:rsidP="009732E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kk-KZ" w:eastAsia="ru-RU"/>
        </w:rPr>
      </w:pPr>
    </w:p>
    <w:p w:rsidR="009732E3" w:rsidRDefault="009732E3" w:rsidP="009732E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kk-KZ" w:eastAsia="ru-RU"/>
        </w:rPr>
        <w:t>1-сурет Әдістемелік жұмыс түрлері</w:t>
      </w:r>
    </w:p>
    <w:p w:rsidR="009732E3" w:rsidRPr="009732E3" w:rsidRDefault="009732E3" w:rsidP="009732E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4281" w:rsidRPr="009732E3" w:rsidRDefault="00CD4281" w:rsidP="009732E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Әдістемелік  жұмыстың бағыттары бір-бірімен тығыз байланысты және педагогтардың теориялық деңгейін,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біліктілігін,</w:t>
      </w:r>
      <w:r w:rsidR="002F2B02" w:rsidRPr="00D96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кәсіби шеберлігін   арттыруға ықпал етеді.</w:t>
      </w:r>
    </w:p>
    <w:p w:rsidR="00CD4281" w:rsidRPr="00BD48E9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D48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Педагогикалық процесс тәрбиешінің келесі бағыттаушы рөлін  қарастырады:</w:t>
      </w:r>
    </w:p>
    <w:p w:rsidR="00CD4281" w:rsidRPr="00BD48E9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D48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1.Ғылым мен практиканың сабақтастығы.</w:t>
      </w:r>
    </w:p>
    <w:p w:rsidR="00CD4281" w:rsidRPr="00BD48E9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D48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2.Педагогикалық процесті болжау,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D48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жобалау және құруды.</w:t>
      </w:r>
    </w:p>
    <w:p w:rsidR="00CD4281" w:rsidRPr="009732E3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D48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3.Педагогикалық қызмет нәтижесінің  обьективті диагностикасын жүзеге асыруды көздейді.</w:t>
      </w:r>
    </w:p>
    <w:p w:rsidR="00BA087F" w:rsidRDefault="00CD4281" w:rsidP="00BA08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Жалпы мектепке дейінгі ұйымда педагогикалық білімі бар педагогтар жұмыс жасайтыны баршаға мәлім,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бірақ осы мамандарға жаңашыл әдістерді таныстырумен қатар,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оны тәрбие мен білім беруде сапалы қолдануды талап етіп,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қадағалау осы жұмыстың нағыз шебері әрине әдіскер болуы керек.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Әдіскер алдына лауазымдық  міндет алып танысқаннан кейін,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жұмыс бастамасының алғашқы күндерінен бастап алдына нақты жоспар құра білуі керек.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Өз тәжірибемде әдістемелік жұмысты ұйымдастырудың қыр-сырын,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әдіс-тәсілдерін түсініп,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бағытын алға қою болды.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Бұл бағыттың жолы тек ізденіс пен шығармашылықты және тынымсыз еңбекті талап етеді.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Мектепке дейінгі мекемедегі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әдістемелік жұмыстар   кімдермен жүзеге асады десек,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олар педагогтар, тәрбиешілер,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балалар және ата-аналар.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Жоғары да айтылған басты тұлғалардың</w:t>
      </w:r>
      <w:r w:rsidR="009732E3"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бір-бірімен тығыз байланыстылы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ғының арқасында </w:t>
      </w:r>
      <w:r w:rsid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мектепке дейінгі мекемедегі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әдістемелік жұмыстар  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өз деңгейінде алға жүреді,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32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яғни әдістемелік жұмыс   бағыты дұрыс қойылған жағдайда жас ұрпақ  тәрбиесі жан-жақты бола алады.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Мектепке дейінгі мекемедегі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әдістемелік жұмыстардың   мазмұнын,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формасын,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тәсілін,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құрылымын жаңарту үрдісі тәрбие мен білім беру жүйесінде құрылған мақсат-міндеттерге сай алынады.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Әдістемелік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жұмыстар жүйесінде педагогтардың кәсіби шеберлігі,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өзін-өзі дамытуға</w:t>
      </w:r>
      <w:r w:rsidR="00BA087F"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дайындығы,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A087F"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шығармашылықтары бірдей деңгейді құрамайды.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A087F"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Осы орайда педагогтарды үш деңгейде қарастырамын:</w:t>
      </w:r>
    </w:p>
    <w:p w:rsidR="00BA087F" w:rsidRDefault="00051DDE" w:rsidP="00BA0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049" style="position:absolute;left:0;text-align:left;margin-left:163.8pt;margin-top:3.5pt;width:168.75pt;height:21pt;z-index:251669504">
            <v:textbox>
              <w:txbxContent>
                <w:p w:rsidR="00BA087F" w:rsidRPr="00BA087F" w:rsidRDefault="00BA087F" w:rsidP="00BA087F">
                  <w:pPr>
                    <w:jc w:val="center"/>
                    <w:rPr>
                      <w:rFonts w:ascii="Times New Roman" w:hAnsi="Times New Roman" w:cs="Times New Roman"/>
                      <w:lang w:val="kk-KZ"/>
                    </w:rPr>
                  </w:pPr>
                  <w:r w:rsidRPr="00BA087F">
                    <w:rPr>
                      <w:rFonts w:ascii="Times New Roman" w:hAnsi="Times New Roman" w:cs="Times New Roman"/>
                      <w:lang w:val="kk-KZ"/>
                    </w:rPr>
                    <w:t>Деңгей түрі</w:t>
                  </w:r>
                </w:p>
              </w:txbxContent>
            </v:textbox>
          </v:rect>
        </w:pict>
      </w:r>
    </w:p>
    <w:p w:rsidR="00BA087F" w:rsidRDefault="00051DDE" w:rsidP="00BA08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5" type="#_x0000_t32" style="position:absolute;left:0;text-align:left;margin-left:234.3pt;margin-top:10.7pt;width:0;height:33.75pt;z-index:25167462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6" type="#_x0000_t32" style="position:absolute;left:0;text-align:left;margin-left:332.55pt;margin-top:10.7pt;width:69pt;height:33.75pt;z-index:251675648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4" type="#_x0000_t32" style="position:absolute;left:0;text-align:left;margin-left:106.05pt;margin-top:10.7pt;width:57.75pt;height:33.75pt;flip:x;z-index:251673600" o:connectortype="straight">
            <v:stroke endarrow="block"/>
          </v:shape>
        </w:pict>
      </w:r>
    </w:p>
    <w:p w:rsidR="00BA087F" w:rsidRDefault="00BA087F" w:rsidP="00BA08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A087F" w:rsidRDefault="00BA087F" w:rsidP="00BA08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A087F" w:rsidRDefault="00051DDE" w:rsidP="00BA08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051" style="position:absolute;left:0;text-align:left;margin-left:180.3pt;margin-top:3.05pt;width:108pt;height:35.25pt;z-index:251671552">
            <v:textbox>
              <w:txbxContent>
                <w:p w:rsidR="00BA087F" w:rsidRPr="00BA087F" w:rsidRDefault="00BA087F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BA087F">
                    <w:rPr>
                      <w:rFonts w:ascii="Times New Roman" w:hAnsi="Times New Roman" w:cs="Times New Roman"/>
                      <w:lang w:val="kk-KZ"/>
                    </w:rPr>
                    <w:t>Орташа (ізденістік)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052" style="position:absolute;left:0;text-align:left;margin-left:344.55pt;margin-top:3.05pt;width:108pt;height:35.25pt;z-index:251672576">
            <v:textbox>
              <w:txbxContent>
                <w:p w:rsidR="00BA087F" w:rsidRPr="00BA087F" w:rsidRDefault="00BA087F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BA087F">
                    <w:rPr>
                      <w:rFonts w:ascii="Times New Roman" w:hAnsi="Times New Roman" w:cs="Times New Roman"/>
                      <w:lang w:val="kk-KZ"/>
                    </w:rPr>
                    <w:t>Жоғары (шеберлік)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050" style="position:absolute;left:0;text-align:left;margin-left:16.05pt;margin-top:3.05pt;width:108pt;height:35.25pt;z-index:251670528">
            <v:textbox>
              <w:txbxContent>
                <w:p w:rsidR="00BA087F" w:rsidRPr="00BA087F" w:rsidRDefault="00BA087F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BA087F">
                    <w:rPr>
                      <w:rFonts w:ascii="Times New Roman" w:hAnsi="Times New Roman" w:cs="Times New Roman"/>
                      <w:lang w:val="kk-KZ"/>
                    </w:rPr>
                    <w:t>Төменгі (интуитивтік)</w:t>
                  </w:r>
                </w:p>
              </w:txbxContent>
            </v:textbox>
          </v:rect>
        </w:pict>
      </w:r>
    </w:p>
    <w:p w:rsidR="00BA087F" w:rsidRPr="00BA087F" w:rsidRDefault="00BA087F" w:rsidP="00BA08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4281" w:rsidRDefault="00CD4281" w:rsidP="00BA087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A087F" w:rsidRPr="00BA087F" w:rsidRDefault="00BA087F" w:rsidP="00BA087F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2-сурет – педагогтар деңгейі</w:t>
      </w:r>
    </w:p>
    <w:p w:rsidR="00CD4281" w:rsidRPr="00BA087F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4281" w:rsidRPr="00BA087F" w:rsidRDefault="00CD4281" w:rsidP="00BA087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Төмендегі деңгейдегі педагогтармен жүргізілетін  әдістемелік жұмыстар: педагогикалық қызметке оң көзқарас қалыптастыру,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теориялық таным-білім бағытында болады.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Орта деңгейдегі педагогтармен жүргізілетін  әдістемелік жұмыстың негізгі бағыты-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қарым-қатынас жасау,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диалог,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педагогикалық техниканы қолдану,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өз дербестік сипатын тану.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Жоғарғы  деңгейдегі педагогтармен жүргізілетін  әдістемелік жұмыстар  олардың педагогикалық қызметіндегі шығармашылық құнды бағыттарды ынталандыру,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дербестік әдістемелік жүйе жасауға бағдарлау мақсаттарын көздейді.</w:t>
      </w:r>
    </w:p>
    <w:p w:rsidR="00CD4281" w:rsidRPr="00BA087F" w:rsidRDefault="00CD4281" w:rsidP="00BA087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Жобаның міндетін негізге ала отырып,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инновациялық бағытта  «мультимедия»  мен «интерактивті тақта» қолданыс тауып келеді.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Жаңалыққа қадам басқан дәуірде педагогтар өз алдына,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балаларында  заман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ауи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 құралдарды  қолдануға деген қызығушылығы басым.</w:t>
      </w:r>
    </w:p>
    <w:p w:rsidR="00CD4281" w:rsidRPr="00BA087F" w:rsidRDefault="00BA087F" w:rsidP="00BA087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Мектепке дейінгі мекемедегі</w:t>
      </w:r>
      <w:r w:rsidR="00CD4281"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әдістемелік бөлменің мақсаты: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Тәрбиеші педагогтарды қолдау үшін ақпараттық  әдістемелік базаны құру,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олардың кәсіби біліктілігін және шығармашылығын дамыту,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педагогикалық шеберлігін көтеру үшін жағдайлар жасау.</w:t>
      </w:r>
    </w:p>
    <w:p w:rsidR="00CD4281" w:rsidRPr="00BA087F" w:rsidRDefault="00CD4281" w:rsidP="00BA087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Әдістің мақсаты: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Оның дербес және кәсіби іс-әрекетіндегі  ең жоғарғы  деңгейдегі жеке нәтижесін көтеру.</w:t>
      </w:r>
    </w:p>
    <w:p w:rsidR="00CD4281" w:rsidRPr="00BA087F" w:rsidRDefault="00CD4281" w:rsidP="00BA087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Коучингтің  негізгі   процедурасы-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диалог,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тиімді сұрақтар қою және мқият жауаптарды тыңдау.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Осы диалог кезінде  педагогтың  әлеуетін  толық ашуға болады,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оның  мотивациясы  жоға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рылайды және ол өз бетімен өзіне маңызды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шешімдерге келеді.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Коучинг-кеңесті  педагогтарды аттестацияға дайындау барысында  өткізген  өте  тиімді екендігін атап  өткім келеді.</w:t>
      </w:r>
    </w:p>
    <w:p w:rsidR="00CD4281" w:rsidRPr="00BA087F" w:rsidRDefault="00CD4281" w:rsidP="00BA087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A087F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Мастер класс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 немесе шеберлік сыныбын ұйымдастыру  бүгінгі  жаңашыл  жұмыстардың бірі.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Бұл білім беру  жүйесіндегі  педагогтардың  біліктілігін  арттыратын  маңызды шаралардың бірі.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Әдіскер  әдістемелік жұмыс    барысында  арнайы таңдаған  тақырыппен  анықталған  білімді  кеңейтуге және тереңдетуге арналған   кәсіби тыңдаушылардың   практикалық  жұмыстарын таныстыра алады.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Шеберлік сыныбы</w:t>
      </w:r>
      <w:r w:rsidRPr="00BA087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-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педагог ж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ұмысының  ә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ісін және тәсілін 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жүйелі іс-әрекеттің  көрсеткішін және  тікелей педагогикалық   іс-тәжірибені  ашық көрсететін амал.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Шеберлік сыныптың мақсаты:</w:t>
      </w:r>
      <w:r w:rsidR="00BA087F" w:rsidRPr="00BA087F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Шеберлік сыныпты өткізуде  педагогтың тәжірибелі,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шығармашылық жұмысының нәтижесін алатын,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шеберлік сыныбы қатысушыларға «инновациялық  өнімдер» табыс ететін,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өте сирек   тәжірибені  педагог  жүзеге  асуы болып табылады.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Шеберлік сыныбының  негізгі міндеті:</w:t>
      </w:r>
    </w:p>
    <w:p w:rsidR="00CD4281" w:rsidRPr="00BA087F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кәсіби қатынасу үшін жағдай  құру;</w:t>
      </w:r>
    </w:p>
    <w:p w:rsidR="00CD4281" w:rsidRPr="00BA087F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педагогтың шығармашылық әлеуетін  ынталандыру және өзара іске асыру;</w:t>
      </w:r>
    </w:p>
    <w:p w:rsidR="00CD4281" w:rsidRPr="00BA087F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қатысушылардың кәсіби шеберлігін және біліктілігін арттыру;</w:t>
      </w:r>
    </w:p>
    <w:p w:rsidR="00CD4281" w:rsidRPr="00BA087F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озық педагогикалық тәжірибені тарату;</w:t>
      </w:r>
    </w:p>
    <w:p w:rsidR="00CD4281" w:rsidRPr="00BA087F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оқыту және тәрбиелеудің  жаңа  технологиясын енгізу;</w:t>
      </w:r>
    </w:p>
    <w:p w:rsidR="00CD4281" w:rsidRPr="00BA087F" w:rsidRDefault="00CD4281" w:rsidP="00BA087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Шеберлік сыныбын  мынандай  әдіспен  өткізуге болады: педагогтармен  балалардың қатысуынсыз,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топтағы  балалармен,</w:t>
      </w:r>
      <w:r w:rsid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жеке балалармен.</w:t>
      </w:r>
    </w:p>
    <w:p w:rsidR="00CD4281" w:rsidRPr="00F5719D" w:rsidRDefault="00F5719D" w:rsidP="00F5719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Мектепке дейінгі мекемедегі</w:t>
      </w:r>
      <w:r w:rsidR="00CD4281" w:rsidRPr="00BA08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әдістемелік жұмыстар  тәрбиеші-педагогтардың шығармашылық, әдістемелік,  зерттеушілік қасиеттерін   дамытуға зор әсерін тигізетіні сөзсіз.Ұжымдағы тәрбиеші-педагогтардың білім сапасының жақсаруы, оқу-білім беретін ұжымның дамуы, оның ішіндегі тәрбиешілердің білім сапасының көлеміне байланысты.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Жоғарыда  аталған  жұмыстарды  түйіндей келе,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мектепке дейінгі ұйым әдіскерінің  әдісте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мелік  жұмысы  жаңаша  көзқарас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тың ізденіс,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қажырлы еңбек арқылы  ұйымдастырылса ғана өз  нәтижесін   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Тәжірибе  өз алдына дамиды,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өзгереді,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жаңаша бетбұрыстар  орын алады.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Инновациялық  әдіс-тәсілдерді іздестіріп,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тәжірибеге енгізу арқылы оның  тиімділігін айқындауға 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Инновациялық  тәжірибе-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заман талабы.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Заман талабына сай болу-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біздің міндетіміз.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Жаңа заман, жаңа көзқарас әр ғасырға тән нәрсе, жаңа  нәрсені зерттеп, ұждағатты түрде айқындап алға қарай даму үстінде жұмыс істеуді жалғастыра беретініміз сөзсіз.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Сөз соңы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да айтарым,  осылайша әр-түрлі әдіс-тәсілдерді пайдалана отырып, білім сапасын арттыру, бүлдіршіндерге сапалы тәрбие бере отырып, жан-жақты дамыған жеке  тұлға тәрбиелеу- әрбір педагогтың міндеті.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F571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Әр тәрбиешінің педагогикалық әдісін шыңдау, олардың алысқа самғап ұшуына қолын ұшын беру, шығармашылық қабілетімен білімін, іскерлігін арттыру, тәжірибесін шыңдау, үздік мамандармен біздер, яғни әдіскерлерге байланысты.</w:t>
      </w:r>
    </w:p>
    <w:p w:rsidR="00F5719D" w:rsidRDefault="00F5719D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174F0" w:rsidRDefault="002174F0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174F0" w:rsidRDefault="002174F0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174F0" w:rsidRDefault="002174F0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174F0" w:rsidRDefault="002174F0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174F0" w:rsidRDefault="002174F0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174F0" w:rsidRDefault="002174F0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174F0" w:rsidRDefault="002174F0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174F0" w:rsidRDefault="002174F0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174F0" w:rsidRDefault="002174F0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4281" w:rsidRPr="002D69C4" w:rsidRDefault="002D69C4" w:rsidP="005003E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>ӘДЕБИЕТ</w:t>
      </w:r>
    </w:p>
    <w:p w:rsidR="007A2C2D" w:rsidRDefault="007A2C2D" w:rsidP="00D96FE6">
      <w:pPr>
        <w:numPr>
          <w:ilvl w:val="0"/>
          <w:numId w:val="1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D69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Б.Р. </w:t>
      </w:r>
      <w:r w:rsidR="00CD4281" w:rsidRPr="002D69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Айтмамбетова «Оқыту процесін ұйымдастыру»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//</w:t>
      </w:r>
      <w:r w:rsidR="00CD4281" w:rsidRPr="002D69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Алматы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 – 1999.</w:t>
      </w:r>
    </w:p>
    <w:p w:rsidR="00CD4281" w:rsidRPr="002D69C4" w:rsidRDefault="00CD4281" w:rsidP="00D96FE6">
      <w:pPr>
        <w:numPr>
          <w:ilvl w:val="0"/>
          <w:numId w:val="1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D69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«Бала мен балабақша» журналы</w:t>
      </w:r>
      <w:r w:rsid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// 2010 – 2014 жж.</w:t>
      </w:r>
    </w:p>
    <w:p w:rsidR="00CD4281" w:rsidRPr="007A2C2D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</w:t>
      </w:r>
      <w:r w:rsid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Ф.Н.Жұмабекова</w:t>
      </w:r>
      <w:r w:rsidRP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«Мектепке дейінгі педагогика» </w:t>
      </w:r>
      <w:r w:rsid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// </w:t>
      </w:r>
      <w:r w:rsidRP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Астана</w:t>
      </w:r>
      <w:r w:rsid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 – 2012.</w:t>
      </w:r>
    </w:p>
    <w:p w:rsidR="00CD4281" w:rsidRPr="007A2C2D" w:rsidRDefault="00CD4281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4.</w:t>
      </w:r>
      <w:r w:rsid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A2C2D" w:rsidRP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Қ.</w:t>
      </w:r>
      <w:r w:rsid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Жұмағұлова, Г.</w:t>
      </w:r>
      <w:r w:rsidRP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Шәріпбаева «Мектеп жасына дейінгі тәрбие теориясы және әдістемесі»</w:t>
      </w:r>
      <w:r w:rsid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//</w:t>
      </w:r>
      <w:r w:rsidRP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Астана</w:t>
      </w:r>
      <w:r w:rsidR="007A2C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 – 2007.</w:t>
      </w:r>
    </w:p>
    <w:p w:rsidR="00CD4281" w:rsidRPr="007A2C2D" w:rsidRDefault="007A2C2D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CD4281" w:rsidRPr="00D96F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Мектепке</w:t>
      </w:r>
      <w:proofErr w:type="spellEnd"/>
      <w:r w:rsidR="00CD4281" w:rsidRPr="00D9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D4281" w:rsidRPr="00D96FE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дейінгі</w:t>
      </w:r>
      <w:proofErr w:type="spellEnd"/>
      <w:r w:rsidR="00CD4281" w:rsidRPr="00D9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D4281" w:rsidRPr="00D96FE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тәрбие</w:t>
      </w:r>
      <w:proofErr w:type="spellEnd"/>
      <w:r w:rsidR="00CD4281" w:rsidRPr="00D9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журналы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2008-2014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жж.</w:t>
      </w:r>
    </w:p>
    <w:p w:rsidR="00CD4281" w:rsidRPr="007A2C2D" w:rsidRDefault="007A2C2D" w:rsidP="00D96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eastAsia="ru-RU"/>
        </w:rPr>
        <w:t>Н.Ю.Честнова «Настольная книга воспитателя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етского </w:t>
      </w:r>
      <w:r w:rsidR="00CD4281" w:rsidRPr="00D96FE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сада»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// Москва.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F51D8A" w:rsidRPr="007A2C2D" w:rsidRDefault="00F51D8A" w:rsidP="00D96F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F51D8A" w:rsidRPr="007A2C2D" w:rsidSect="00396AF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A1E74"/>
    <w:multiLevelType w:val="multilevel"/>
    <w:tmpl w:val="32A66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E84F35"/>
    <w:multiLevelType w:val="hybridMultilevel"/>
    <w:tmpl w:val="D702F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281"/>
    <w:rsid w:val="000113E7"/>
    <w:rsid w:val="00051DDE"/>
    <w:rsid w:val="001069EC"/>
    <w:rsid w:val="001A72CE"/>
    <w:rsid w:val="00214F6D"/>
    <w:rsid w:val="002174F0"/>
    <w:rsid w:val="00232F67"/>
    <w:rsid w:val="00270A97"/>
    <w:rsid w:val="00292E98"/>
    <w:rsid w:val="002D69C4"/>
    <w:rsid w:val="002F2B02"/>
    <w:rsid w:val="00391995"/>
    <w:rsid w:val="00396AF1"/>
    <w:rsid w:val="003E5BAE"/>
    <w:rsid w:val="005003E3"/>
    <w:rsid w:val="00604A7C"/>
    <w:rsid w:val="00761C19"/>
    <w:rsid w:val="007A2C2D"/>
    <w:rsid w:val="007D2C6A"/>
    <w:rsid w:val="00803C7E"/>
    <w:rsid w:val="009732E3"/>
    <w:rsid w:val="00B155B7"/>
    <w:rsid w:val="00BA087F"/>
    <w:rsid w:val="00BD48E9"/>
    <w:rsid w:val="00C333A1"/>
    <w:rsid w:val="00CD4281"/>
    <w:rsid w:val="00D96FE6"/>
    <w:rsid w:val="00F115AF"/>
    <w:rsid w:val="00F51D8A"/>
    <w:rsid w:val="00F5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9" type="connector" idref="#_x0000_s1046"/>
        <o:r id="V:Rule10" type="connector" idref="#_x0000_s1045"/>
        <o:r id="V:Rule11" type="connector" idref="#_x0000_s1054"/>
        <o:r id="V:Rule12" type="connector" idref="#_x0000_s1048"/>
        <o:r id="V:Rule13" type="connector" idref="#_x0000_s1055"/>
        <o:r id="V:Rule14" type="connector" idref="#_x0000_s1044"/>
        <o:r id="V:Rule15" type="connector" idref="#_x0000_s1047"/>
        <o:r id="V:Rule16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8A"/>
  </w:style>
  <w:style w:type="paragraph" w:styleId="1">
    <w:name w:val="heading 1"/>
    <w:basedOn w:val="a"/>
    <w:link w:val="10"/>
    <w:uiPriority w:val="9"/>
    <w:qFormat/>
    <w:rsid w:val="00CD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CD428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D4281"/>
    <w:rPr>
      <w:b/>
      <w:bCs/>
    </w:rPr>
  </w:style>
  <w:style w:type="character" w:styleId="a6">
    <w:name w:val="Emphasis"/>
    <w:basedOn w:val="a0"/>
    <w:uiPriority w:val="20"/>
    <w:qFormat/>
    <w:rsid w:val="00CD4281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CD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428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E5B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4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ulnura_axmet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311kabinet</dc:creator>
  <cp:lastModifiedBy>311kabinet</cp:lastModifiedBy>
  <cp:revision>14</cp:revision>
  <dcterms:created xsi:type="dcterms:W3CDTF">2018-12-04T09:34:00Z</dcterms:created>
  <dcterms:modified xsi:type="dcterms:W3CDTF">2018-12-12T05:59:00Z</dcterms:modified>
</cp:coreProperties>
</file>