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F1479C" w:rsidRDefault="00F1479C" w:rsidP="00F1479C">
      <w:pPr>
        <w:ind w:firstLine="5529"/>
        <w:rPr>
          <w:color w:val="000000"/>
          <w:sz w:val="22"/>
          <w:szCs w:val="22"/>
          <w:lang w:val="kk-KZ"/>
        </w:rPr>
      </w:pPr>
      <w:r>
        <w:rPr>
          <w:sz w:val="22"/>
          <w:szCs w:val="22"/>
          <w:lang w:val="kk-KZ"/>
        </w:rPr>
        <w:t xml:space="preserve">        </w:t>
      </w:r>
      <w:r w:rsidR="00DC69D0" w:rsidRPr="00EB7F80">
        <w:rPr>
          <w:sz w:val="22"/>
          <w:szCs w:val="22"/>
          <w:lang w:val="kk-KZ"/>
        </w:rPr>
        <w:t>2019 жылғы 24 сәуірдегі</w:t>
      </w:r>
    </w:p>
    <w:p w:rsidR="00DC69D0" w:rsidRDefault="00DC69D0" w:rsidP="004C0C1C">
      <w:pPr>
        <w:spacing w:line="232" w:lineRule="auto"/>
        <w:ind w:firstLine="5954"/>
        <w:rPr>
          <w:color w:val="000000"/>
          <w:sz w:val="22"/>
          <w:szCs w:val="22"/>
          <w:lang w:val="kk-KZ"/>
        </w:rPr>
      </w:pPr>
      <w:r w:rsidRPr="00EB7F80">
        <w:rPr>
          <w:sz w:val="22"/>
          <w:szCs w:val="22"/>
          <w:lang w:val="kk-KZ"/>
        </w:rPr>
        <w:t>№ 181-Ө бұйрығымен</w:t>
      </w:r>
      <w:r>
        <w:rPr>
          <w:color w:val="000000"/>
          <w:sz w:val="22"/>
          <w:szCs w:val="22"/>
          <w:lang w:val="kk-KZ"/>
        </w:rPr>
        <w:t xml:space="preserve"> </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DC69D0"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0387B" w:rsidRDefault="00273EFA" w:rsidP="000E396C">
            <w:pPr>
              <w:pStyle w:val="a3"/>
              <w:spacing w:before="0" w:beforeAutospacing="0" w:after="0" w:afterAutospacing="0"/>
              <w:rPr>
                <w:sz w:val="22"/>
                <w:szCs w:val="22"/>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w:t>
            </w:r>
          </w:p>
          <w:p w:rsidR="00DC69D0" w:rsidRPr="00574410" w:rsidRDefault="00DC69D0" w:rsidP="000E396C">
            <w:pPr>
              <w:pStyle w:val="a3"/>
              <w:spacing w:before="0" w:beforeAutospacing="0" w:after="0" w:afterAutospacing="0"/>
              <w:rPr>
                <w:u w:val="single"/>
                <w:lang w:val="kk-KZ"/>
              </w:rPr>
            </w:pPr>
          </w:p>
          <w:p w:rsidR="00DC69D0" w:rsidRPr="00947783" w:rsidRDefault="00273EFA" w:rsidP="00DC69D0">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C69D0">
              <w:rPr>
                <w:sz w:val="22"/>
                <w:szCs w:val="22"/>
                <w:lang w:val="kk-KZ"/>
              </w:rPr>
              <w:t>.</w:t>
            </w:r>
          </w:p>
          <w:p w:rsidR="00C60A7D" w:rsidRPr="00574410" w:rsidRDefault="005F17C1" w:rsidP="005F17C1">
            <w:pPr>
              <w:pStyle w:val="a3"/>
              <w:spacing w:before="0" w:beforeAutospacing="0" w:after="0" w:afterAutospacing="0"/>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w:t>
      </w:r>
      <w:r w:rsidRPr="00574410">
        <w:rPr>
          <w:sz w:val="22"/>
          <w:szCs w:val="22"/>
          <w:lang w:val="kk-KZ"/>
        </w:rPr>
        <w:lastRenderedPageBreak/>
        <w:t xml:space="preserve">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DC69D0"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E16D68" w:rsidP="002662E1">
            <w:pPr>
              <w:ind w:left="-108"/>
              <w:jc w:val="center"/>
            </w:pPr>
            <w:r>
              <w:t>434 340,7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596B62" w:rsidP="002662E1">
            <w:pPr>
              <w:ind w:left="-108"/>
              <w:jc w:val="center"/>
              <w:rPr>
                <w:b/>
              </w:rPr>
            </w:pPr>
            <w:r>
              <w:rPr>
                <w:b/>
                <w:sz w:val="22"/>
                <w:szCs w:val="22"/>
                <w:lang w:val="kk-KZ"/>
              </w:rPr>
              <w:t>452 982,7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lastRenderedPageBreak/>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lang w:val="kk-KZ"/>
              </w:rPr>
            </w:pPr>
            <w:r>
              <w:rPr>
                <w:sz w:val="22"/>
                <w:szCs w:val="22"/>
                <w:lang w:val="kk-KZ"/>
              </w:rPr>
              <w:t>430 406,</w:t>
            </w:r>
            <w:r w:rsidR="00493E93">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93E93" w:rsidP="00F95CCA">
            <w:pPr>
              <w:ind w:left="-108"/>
              <w:jc w:val="center"/>
              <w:rPr>
                <w:lang w:val="kk-KZ"/>
              </w:rPr>
            </w:pPr>
            <w:r>
              <w:rPr>
                <w:sz w:val="22"/>
                <w:szCs w:val="22"/>
                <w:lang w:val="kk-KZ"/>
              </w:rPr>
              <w:t>337 060,7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t>"Орта білім беретін үздік ұйым" іс-шараларды іске асыру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2662E1" w:rsidRDefault="002662E1" w:rsidP="00EB7BA5">
            <w:pPr>
              <w:pStyle w:val="a3"/>
              <w:spacing w:before="0" w:beforeAutospacing="0" w:after="0" w:afterAutospacing="0"/>
              <w:rPr>
                <w:color w:val="222222"/>
              </w:rPr>
            </w:pPr>
            <w:r>
              <w:rPr>
                <w:color w:val="222222"/>
                <w:sz w:val="22"/>
                <w:szCs w:val="22"/>
                <w:lang w:val="kk-KZ"/>
              </w:rPr>
              <w:t xml:space="preserve">Ашу </w:t>
            </w:r>
            <w:r>
              <w:rPr>
                <w:color w:val="222222"/>
                <w:sz w:val="22"/>
                <w:szCs w:val="22"/>
                <w:lang w:val="en-US"/>
              </w:rPr>
              <w:t>IT-</w:t>
            </w:r>
            <w:r>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r>
              <w:rPr>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93E93" w:rsidP="002662E1">
            <w:pPr>
              <w:ind w:left="-108"/>
              <w:jc w:val="center"/>
              <w:rPr>
                <w:b/>
              </w:rPr>
            </w:pPr>
            <w:r>
              <w:rPr>
                <w:b/>
              </w:rPr>
              <w:t>434 340,7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DC69D0">
        <w:rPr>
          <w:b/>
          <w:bCs/>
          <w:iCs/>
          <w:sz w:val="22"/>
          <w:szCs w:val="22"/>
          <w:lang w:val="kk-KZ"/>
        </w:rPr>
        <w:t xml:space="preserve">      </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2059</Words>
  <Characters>11741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149</cp:revision>
  <cp:lastPrinted>2019-03-18T07:11:00Z</cp:lastPrinted>
  <dcterms:created xsi:type="dcterms:W3CDTF">2019-01-25T05:58:00Z</dcterms:created>
  <dcterms:modified xsi:type="dcterms:W3CDTF">2019-06-07T06:04:00Z</dcterms:modified>
</cp:coreProperties>
</file>