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BF3F0D" w:rsidRDefault="0083370B" w:rsidP="00BF3F0D">
      <w:pPr>
        <w:ind w:left="5529"/>
        <w:rPr>
          <w:sz w:val="22"/>
          <w:szCs w:val="22"/>
          <w:lang w:val="kk-KZ"/>
        </w:rPr>
      </w:pPr>
      <w:r>
        <w:rPr>
          <w:sz w:val="22"/>
          <w:szCs w:val="22"/>
          <w:lang w:val="kk-KZ"/>
        </w:rPr>
        <w:t xml:space="preserve">     </w:t>
      </w:r>
      <w:r w:rsidR="00BF3F0D">
        <w:rPr>
          <w:sz w:val="22"/>
          <w:szCs w:val="22"/>
          <w:lang w:val="kk-KZ"/>
        </w:rPr>
        <w:t>2019 жылғы 27 маусымдағы</w:t>
      </w:r>
    </w:p>
    <w:p w:rsidR="00EC716B" w:rsidRPr="00EC716B" w:rsidRDefault="00BF3F0D" w:rsidP="00BF3F0D">
      <w:pPr>
        <w:ind w:left="5529"/>
        <w:rPr>
          <w:b/>
          <w:sz w:val="22"/>
          <w:szCs w:val="22"/>
          <w:lang w:val="kk-KZ"/>
        </w:rPr>
      </w:pPr>
      <w:r>
        <w:rPr>
          <w:sz w:val="22"/>
          <w:szCs w:val="22"/>
          <w:lang w:val="kk-KZ"/>
        </w:rPr>
        <w:t xml:space="preserve">     № 235-Ө бұйрығымен</w:t>
      </w: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947783"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3 бұйрығына сәйкес, 25/280-VI «2019-2021 жылдарға арналған облыстық бюджет туралы» шешіміне сәйкес.</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lastRenderedPageBreak/>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516B9F"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DC6185" w:rsidP="00615144">
            <w:pPr>
              <w:pStyle w:val="a3"/>
              <w:jc w:val="center"/>
              <w:rPr>
                <w:lang w:val="kk-KZ"/>
              </w:rPr>
            </w:pPr>
            <w:r>
              <w:rPr>
                <w:sz w:val="22"/>
                <w:szCs w:val="22"/>
                <w:lang w:val="kk-KZ"/>
              </w:rPr>
              <w:t>90 066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4D2DDC">
            <w:pPr>
              <w:ind w:left="-108"/>
              <w:jc w:val="center"/>
              <w:rPr>
                <w:lang w:val="kk-KZ"/>
              </w:rPr>
            </w:pPr>
            <w:r>
              <w:rPr>
                <w:lang w:val="kk-KZ"/>
              </w:rPr>
              <w:t xml:space="preserve">691 </w:t>
            </w:r>
            <w:r w:rsidR="004D2DDC">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DC6185">
            <w:pPr>
              <w:ind w:left="-108"/>
              <w:jc w:val="center"/>
              <w:rPr>
                <w:b/>
              </w:rPr>
            </w:pPr>
            <w:r>
              <w:rPr>
                <w:b/>
                <w:sz w:val="22"/>
                <w:szCs w:val="22"/>
                <w:lang w:val="kk-KZ"/>
              </w:rPr>
              <w:t>7</w:t>
            </w:r>
            <w:r w:rsidR="00DC6185">
              <w:rPr>
                <w:b/>
                <w:sz w:val="22"/>
                <w:szCs w:val="22"/>
                <w:lang w:val="kk-KZ"/>
              </w:rPr>
              <w:t>81</w:t>
            </w:r>
            <w:r w:rsidR="0016059F" w:rsidRPr="00745C27">
              <w:rPr>
                <w:b/>
                <w:sz w:val="22"/>
                <w:szCs w:val="22"/>
              </w:rPr>
              <w:t> </w:t>
            </w:r>
            <w:r w:rsidR="00DC6185">
              <w:rPr>
                <w:b/>
                <w:sz w:val="22"/>
                <w:szCs w:val="22"/>
                <w:lang w:val="kk-KZ"/>
              </w:rPr>
              <w:t>768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lastRenderedPageBreak/>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r w:rsidR="00FC57C3" w:rsidRPr="009D4B41">
              <w:t xml:space="preserve">ңбекақы мөлшерінің өзгеруіне </w:t>
            </w:r>
            <w:proofErr w:type="spellStart"/>
            <w:r w:rsidR="00FC57C3" w:rsidRPr="009D4B41">
              <w:t>байланысты</w:t>
            </w:r>
            <w:proofErr w:type="spellEnd"/>
            <w:r w:rsidR="00FC57C3" w:rsidRPr="009D4B41">
              <w:t xml:space="preserve"> бюджет қаражаты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санаттағы азаматтық қызметшілердің,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қызметкерлерінің, </w:t>
            </w:r>
            <w:proofErr w:type="spellStart"/>
            <w:r w:rsidR="00FC57C3" w:rsidRPr="009D4B41">
              <w:t>мемлекеттік</w:t>
            </w:r>
            <w:proofErr w:type="spellEnd"/>
            <w:r w:rsidR="00FC57C3" w:rsidRPr="009D4B41">
              <w:t xml:space="preserve"> қазыналық кәсіпорын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w:t>
            </w:r>
            <w:r>
              <w:lastRenderedPageBreak/>
              <w:t xml:space="preserve">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DC6185" w:rsidP="00615144">
            <w:pPr>
              <w:pStyle w:val="a3"/>
              <w:spacing w:before="0" w:after="0"/>
              <w:jc w:val="center"/>
              <w:rPr>
                <w:lang w:val="kk-KZ"/>
              </w:rPr>
            </w:pPr>
            <w:r>
              <w:rPr>
                <w:sz w:val="22"/>
                <w:szCs w:val="22"/>
                <w:lang w:val="kk-KZ"/>
              </w:rPr>
              <w:t>55 818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DC6185" w:rsidP="00DC6185">
            <w:pPr>
              <w:ind w:left="-108"/>
              <w:jc w:val="center"/>
              <w:rPr>
                <w:b/>
                <w:lang w:val="kk-KZ"/>
              </w:rPr>
            </w:pPr>
            <w:r>
              <w:rPr>
                <w:b/>
                <w:sz w:val="22"/>
                <w:szCs w:val="22"/>
                <w:lang w:val="kk-KZ"/>
              </w:rPr>
              <w:t>90</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w:t>
            </w:r>
            <w:r w:rsidRPr="00745C27">
              <w:rPr>
                <w:sz w:val="22"/>
                <w:szCs w:val="22"/>
                <w:lang w:val="kk-KZ"/>
              </w:rPr>
              <w:lastRenderedPageBreak/>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lastRenderedPageBreak/>
              <w:t>ө</w:t>
            </w:r>
            <w:r w:rsidR="00952EFE" w:rsidRPr="00745C27">
              <w:rPr>
                <w:sz w:val="22"/>
                <w:szCs w:val="22"/>
                <w:lang w:val="kk-KZ"/>
              </w:rPr>
              <w:t>лше</w:t>
            </w:r>
            <w:r w:rsidR="00952EFE" w:rsidRPr="00745C27">
              <w:rPr>
                <w:sz w:val="22"/>
                <w:szCs w:val="22"/>
                <w:lang w:val="kk-KZ"/>
              </w:rPr>
              <w:lastRenderedPageBreak/>
              <w:t>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lastRenderedPageBreak/>
              <w:t xml:space="preserve">Есеп беру </w:t>
            </w:r>
            <w:r w:rsidRPr="00745C27">
              <w:rPr>
                <w:sz w:val="22"/>
                <w:szCs w:val="22"/>
                <w:lang w:val="kk-KZ"/>
              </w:rPr>
              <w:lastRenderedPageBreak/>
              <w:t>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lastRenderedPageBreak/>
              <w:t xml:space="preserve">Ағымдағы </w:t>
            </w:r>
            <w:r w:rsidRPr="00745C27">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lastRenderedPageBreak/>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305ABD">
            <w:pPr>
              <w:ind w:left="-108"/>
              <w:jc w:val="center"/>
              <w:rPr>
                <w:lang w:val="kk-KZ"/>
              </w:rPr>
            </w:pPr>
            <w:r>
              <w:rPr>
                <w:lang w:val="kk-KZ"/>
              </w:rPr>
              <w:t xml:space="preserve">691 </w:t>
            </w:r>
            <w:r w:rsidR="00305ABD">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305ABD">
            <w:pPr>
              <w:ind w:left="-108"/>
              <w:jc w:val="center"/>
              <w:rPr>
                <w:b/>
              </w:rPr>
            </w:pPr>
            <w:r>
              <w:rPr>
                <w:b/>
                <w:sz w:val="22"/>
                <w:szCs w:val="22"/>
                <w:lang w:val="kk-KZ"/>
              </w:rPr>
              <w:t>691 </w:t>
            </w:r>
            <w:r w:rsidR="00305ABD">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B9" w:rsidRDefault="003B6AB9" w:rsidP="00F2095A">
      <w:r>
        <w:separator/>
      </w:r>
    </w:p>
  </w:endnote>
  <w:endnote w:type="continuationSeparator" w:id="1">
    <w:p w:rsidR="003B6AB9" w:rsidRDefault="003B6AB9"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B9" w:rsidRDefault="003B6AB9" w:rsidP="00F2095A">
      <w:r>
        <w:separator/>
      </w:r>
    </w:p>
  </w:footnote>
  <w:footnote w:type="continuationSeparator" w:id="1">
    <w:p w:rsidR="003B6AB9" w:rsidRDefault="003B6AB9"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C23AF5">
        <w:pPr>
          <w:pStyle w:val="a4"/>
          <w:jc w:val="center"/>
        </w:pPr>
        <w:r>
          <w:fldChar w:fldCharType="begin"/>
        </w:r>
        <w:r w:rsidR="00533BE5">
          <w:instrText xml:space="preserve"> PAGE   \* MERGEFORMAT </w:instrText>
        </w:r>
        <w:r>
          <w:fldChar w:fldCharType="separate"/>
        </w:r>
        <w:r w:rsidR="00516B9F">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57A"/>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139D"/>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35D4"/>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6185"/>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0616"/>
    <w:rsid w:val="00FE1115"/>
    <w:rsid w:val="00FE317E"/>
    <w:rsid w:val="00FE3768"/>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2011</Words>
  <Characters>11467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50</cp:revision>
  <cp:lastPrinted>2019-03-18T07:07:00Z</cp:lastPrinted>
  <dcterms:created xsi:type="dcterms:W3CDTF">2019-01-25T15:36:00Z</dcterms:created>
  <dcterms:modified xsi:type="dcterms:W3CDTF">2019-07-03T17:47:00Z</dcterms:modified>
</cp:coreProperties>
</file>