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4A3322" w:rsidRDefault="004A3322" w:rsidP="004A3322">
      <w:pPr>
        <w:ind w:left="5529"/>
        <w:rPr>
          <w:sz w:val="22"/>
          <w:szCs w:val="22"/>
          <w:lang w:val="kk-KZ"/>
        </w:rPr>
      </w:pPr>
      <w:r>
        <w:rPr>
          <w:sz w:val="22"/>
          <w:szCs w:val="22"/>
          <w:lang w:val="kk-KZ"/>
        </w:rPr>
        <w:t>2019 жылғы 2</w:t>
      </w:r>
      <w:r w:rsidR="00E437D0">
        <w:rPr>
          <w:sz w:val="22"/>
          <w:szCs w:val="22"/>
          <w:lang w:val="kk-KZ"/>
        </w:rPr>
        <w:t>8</w:t>
      </w:r>
      <w:r>
        <w:rPr>
          <w:sz w:val="22"/>
          <w:szCs w:val="22"/>
          <w:lang w:val="kk-KZ"/>
        </w:rPr>
        <w:t xml:space="preserve"> маусымдағы</w:t>
      </w:r>
    </w:p>
    <w:p w:rsidR="00C470C1" w:rsidRDefault="004A3322" w:rsidP="004A3322">
      <w:pPr>
        <w:ind w:firstLine="5529"/>
        <w:rPr>
          <w:color w:val="000000"/>
          <w:sz w:val="22"/>
          <w:szCs w:val="22"/>
          <w:lang w:val="kk-KZ"/>
        </w:rPr>
      </w:pPr>
      <w:r>
        <w:rPr>
          <w:sz w:val="22"/>
          <w:szCs w:val="22"/>
          <w:lang w:val="kk-KZ"/>
        </w:rPr>
        <w:t>№ 23</w:t>
      </w:r>
      <w:r w:rsidR="00E437D0">
        <w:rPr>
          <w:sz w:val="22"/>
          <w:szCs w:val="22"/>
          <w:lang w:val="kk-KZ"/>
        </w:rPr>
        <w:t>6</w:t>
      </w:r>
      <w:r>
        <w:rPr>
          <w:sz w:val="22"/>
          <w:szCs w:val="22"/>
          <w:lang w:val="kk-KZ"/>
        </w:rPr>
        <w:t>-Ө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EB1BD4"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EB1BD4" w:rsidRDefault="00D45A71" w:rsidP="00EB1BD4">
            <w:pPr>
              <w:jc w:val="both"/>
              <w:rPr>
                <w:color w:val="FF0000"/>
                <w:sz w:val="22"/>
                <w:szCs w:val="22"/>
                <w:lang w:val="kk-KZ" w:eastAsia="en-US"/>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w:t>
            </w:r>
            <w:r w:rsidR="006838DB">
              <w:rPr>
                <w:sz w:val="22"/>
                <w:szCs w:val="22"/>
                <w:lang w:val="kk-KZ"/>
              </w:rPr>
              <w:lastRenderedPageBreak/>
              <w:t>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FD1954">
              <w:rPr>
                <w:sz w:val="22"/>
                <w:szCs w:val="22"/>
                <w:lang w:val="kk-KZ"/>
              </w:rPr>
              <w:t>, «2019 жылға арналған облыстық бюджеттің көрсеткіштерін түзету туралы» ШҚО 2019 жылғы 26 сәуірдегі № 129 қаулысына сәйкес</w:t>
            </w:r>
            <w:r w:rsidR="003222D3">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B1BD4">
              <w:rPr>
                <w:sz w:val="22"/>
                <w:szCs w:val="22"/>
                <w:lang w:val="kk-KZ"/>
              </w:rPr>
              <w:t xml:space="preserve">, Өскемен қалалық мәслихатының 2019 жылғы 25 маусымдағы № 43/2-VI </w:t>
            </w:r>
            <w:r w:rsidR="00EB1BD4">
              <w:rPr>
                <w:sz w:val="22"/>
                <w:szCs w:val="22"/>
                <w:lang w:val="kk-KZ" w:eastAsia="en-US"/>
              </w:rPr>
              <w:t>2018 жылғы 27 желтоқсандағы № 38/2-VI «Өскемен қаласының 2019-2021 жылдарға арналған бюджеті туралы» шешімі.</w:t>
            </w:r>
            <w:r w:rsidR="00EB1BD4">
              <w:rPr>
                <w:color w:val="FF0000"/>
                <w:sz w:val="22"/>
                <w:szCs w:val="22"/>
                <w:lang w:val="kk-KZ" w:eastAsia="en-US"/>
              </w:rPr>
              <w:t xml:space="preserve"> </w:t>
            </w: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w:t>
      </w:r>
      <w:r w:rsidRPr="004271C9">
        <w:rPr>
          <w:color w:val="000000"/>
          <w:sz w:val="22"/>
          <w:szCs w:val="22"/>
          <w:lang w:val="kk-KZ"/>
        </w:rPr>
        <w:lastRenderedPageBreak/>
        <w:t>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EB1BD4"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 xml:space="preserve">бағдарлама </w:t>
            </w:r>
            <w:r w:rsidRPr="004271C9">
              <w:rPr>
                <w:b/>
                <w:sz w:val="22"/>
                <w:szCs w:val="22"/>
                <w:lang w:val="kk-KZ"/>
              </w:rPr>
              <w:lastRenderedPageBreak/>
              <w:t>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lastRenderedPageBreak/>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205" w:rsidRDefault="00B46205" w:rsidP="00D45A71">
      <w:r>
        <w:separator/>
      </w:r>
    </w:p>
  </w:endnote>
  <w:endnote w:type="continuationSeparator" w:id="1">
    <w:p w:rsidR="00B46205" w:rsidRDefault="00B46205"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205" w:rsidRDefault="00B46205" w:rsidP="00D45A71">
      <w:r>
        <w:separator/>
      </w:r>
    </w:p>
  </w:footnote>
  <w:footnote w:type="continuationSeparator" w:id="1">
    <w:p w:rsidR="00B46205" w:rsidRDefault="00B46205"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22F0"/>
    <w:rsid w:val="000F5460"/>
    <w:rsid w:val="00100832"/>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1541</Words>
  <Characters>8789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173</cp:revision>
  <cp:lastPrinted>2019-01-26T05:46:00Z</cp:lastPrinted>
  <dcterms:created xsi:type="dcterms:W3CDTF">2019-01-25T07:43:00Z</dcterms:created>
  <dcterms:modified xsi:type="dcterms:W3CDTF">2019-07-03T18:22:00Z</dcterms:modified>
</cp:coreProperties>
</file>