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DF67C0" w:rsidP="002E7C7F">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rPr>
        <w:t>2021 жылдың 29</w:t>
      </w:r>
      <w:r w:rsidR="002E7C7F" w:rsidRPr="009D0F06">
        <w:rPr>
          <w:rFonts w:ascii="Times New Roman" w:hAnsi="Times New Roman"/>
          <w:b/>
          <w:sz w:val="28"/>
          <w:szCs w:val="28"/>
        </w:rPr>
        <w:t xml:space="preserve"> </w:t>
      </w:r>
      <w:r w:rsidR="002E7C7F" w:rsidRPr="009D0F06">
        <w:rPr>
          <w:rFonts w:ascii="Times New Roman" w:hAnsi="Times New Roman"/>
          <w:b/>
          <w:sz w:val="28"/>
          <w:szCs w:val="28"/>
          <w:lang w:val="kk-KZ"/>
        </w:rPr>
        <w:t>қа</w:t>
      </w:r>
      <w:r w:rsidR="0072675E">
        <w:rPr>
          <w:rFonts w:ascii="Times New Roman" w:hAnsi="Times New Roman"/>
          <w:b/>
          <w:sz w:val="28"/>
          <w:szCs w:val="28"/>
          <w:lang w:val="kk-KZ"/>
        </w:rPr>
        <w:t>ңтарынан</w:t>
      </w:r>
      <w:r>
        <w:rPr>
          <w:rFonts w:ascii="Times New Roman" w:hAnsi="Times New Roman"/>
          <w:b/>
          <w:sz w:val="28"/>
          <w:szCs w:val="28"/>
          <w:lang w:val="kk-KZ"/>
        </w:rPr>
        <w:t xml:space="preserve"> 18</w:t>
      </w:r>
      <w:r w:rsidR="00435D69">
        <w:rPr>
          <w:rFonts w:ascii="Times New Roman" w:hAnsi="Times New Roman"/>
          <w:b/>
          <w:sz w:val="28"/>
          <w:szCs w:val="28"/>
          <w:lang w:val="kk-KZ"/>
        </w:rPr>
        <w:t xml:space="preserve"> </w:t>
      </w:r>
      <w:r w:rsidR="0072675E">
        <w:rPr>
          <w:rFonts w:ascii="Times New Roman" w:hAnsi="Times New Roman"/>
          <w:b/>
          <w:sz w:val="28"/>
          <w:szCs w:val="28"/>
          <w:lang w:val="kk-KZ"/>
        </w:rPr>
        <w:t>ақпанына</w:t>
      </w:r>
      <w:r w:rsidR="008A75D7">
        <w:rPr>
          <w:rFonts w:ascii="Times New Roman" w:hAnsi="Times New Roman"/>
          <w:b/>
          <w:sz w:val="28"/>
          <w:szCs w:val="28"/>
          <w:lang w:val="kk-KZ"/>
        </w:rPr>
        <w:t xml:space="preserve"> </w:t>
      </w:r>
      <w:proofErr w:type="spellStart"/>
      <w:r w:rsidR="002E7C7F" w:rsidRPr="009D0F06">
        <w:rPr>
          <w:rFonts w:ascii="Times New Roman" w:hAnsi="Times New Roman"/>
          <w:b/>
          <w:sz w:val="28"/>
          <w:szCs w:val="28"/>
        </w:rPr>
        <w:t>дейін</w:t>
      </w:r>
      <w:proofErr w:type="spellEnd"/>
      <w:r w:rsidR="002E7C7F">
        <w:rPr>
          <w:rFonts w:ascii="Times New Roman" w:hAnsi="Times New Roman"/>
          <w:b/>
          <w:sz w:val="28"/>
          <w:szCs w:val="28"/>
          <w:lang w:val="en-US"/>
        </w:rPr>
        <w:t xml:space="preserve"> </w:t>
      </w:r>
      <w:r w:rsidR="002E7C7F" w:rsidRPr="009D0F06">
        <w:rPr>
          <w:rFonts w:ascii="Times New Roman" w:hAnsi="Times New Roman"/>
          <w:b/>
          <w:sz w:val="28"/>
          <w:szCs w:val="28"/>
          <w:lang w:val="kk-KZ"/>
        </w:rPr>
        <w:t xml:space="preserve">Жеке меншік мектепке дейінгі ұйымдарда мемлекеттік білім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p w:rsidR="002E7C7F" w:rsidRPr="004C732A" w:rsidRDefault="002E7C7F" w:rsidP="002E7C7F">
      <w:pPr>
        <w:rPr>
          <w:rFonts w:ascii="Times New Roman" w:hAnsi="Times New Roman"/>
          <w:sz w:val="28"/>
          <w:szCs w:val="28"/>
          <w:lang w:val="kk-KZ"/>
        </w:rPr>
      </w:pP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10 а, 070004 «</w:t>
      </w:r>
      <w:r w:rsidR="00DF67C0">
        <w:rPr>
          <w:rFonts w:ascii="Times New Roman" w:hAnsi="Times New Roman"/>
          <w:sz w:val="28"/>
          <w:szCs w:val="28"/>
          <w:lang w:val="kk-KZ"/>
        </w:rPr>
        <w:t xml:space="preserve">Шығыс Қазақстан облысы білім басқармасының </w:t>
      </w:r>
      <w:r w:rsidR="00DF67C0" w:rsidRPr="00DF67C0">
        <w:rPr>
          <w:rFonts w:ascii="Times New Roman" w:hAnsi="Times New Roman"/>
          <w:sz w:val="28"/>
          <w:szCs w:val="28"/>
          <w:lang w:val="kk-KZ"/>
        </w:rPr>
        <w:t>«</w:t>
      </w:r>
      <w:r w:rsidRPr="004C732A">
        <w:rPr>
          <w:rFonts w:ascii="Times New Roman" w:hAnsi="Times New Roman"/>
          <w:sz w:val="28"/>
          <w:szCs w:val="28"/>
          <w:lang w:val="kk-KZ"/>
        </w:rPr>
        <w:t>Өскемен</w:t>
      </w:r>
      <w:r w:rsidR="00DF67C0">
        <w:rPr>
          <w:rFonts w:ascii="Times New Roman" w:hAnsi="Times New Roman"/>
          <w:sz w:val="28"/>
          <w:szCs w:val="28"/>
          <w:lang w:val="kk-KZ"/>
        </w:rPr>
        <w:t xml:space="preserve"> қаласы бойынша</w:t>
      </w:r>
      <w:r w:rsidRPr="004C732A">
        <w:rPr>
          <w:rFonts w:ascii="Times New Roman" w:hAnsi="Times New Roman"/>
          <w:sz w:val="28"/>
          <w:szCs w:val="28"/>
          <w:lang w:val="kk-KZ"/>
        </w:rPr>
        <w:t xml:space="preserve">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sidR="008A75D7">
        <w:rPr>
          <w:rFonts w:ascii="Times New Roman" w:hAnsi="Times New Roman"/>
          <w:sz w:val="28"/>
          <w:szCs w:val="28"/>
          <w:lang w:val="kk-KZ"/>
        </w:rPr>
        <w:t xml:space="preserve">сын </w:t>
      </w:r>
      <w:r w:rsidR="0072675E">
        <w:rPr>
          <w:rFonts w:ascii="Times New Roman" w:hAnsi="Times New Roman"/>
          <w:sz w:val="28"/>
          <w:szCs w:val="28"/>
          <w:lang w:val="kk-KZ"/>
        </w:rPr>
        <w:t>453</w:t>
      </w:r>
      <w:r>
        <w:rPr>
          <w:rFonts w:ascii="Times New Roman" w:hAnsi="Times New Roman"/>
          <w:sz w:val="28"/>
          <w:szCs w:val="28"/>
          <w:lang w:val="kk-KZ"/>
        </w:rPr>
        <w:t xml:space="preserve"> орынға орналастыру байқау</w:t>
      </w:r>
      <w:r w:rsidRPr="004C732A">
        <w:rPr>
          <w:rFonts w:ascii="Times New Roman" w:hAnsi="Times New Roman"/>
          <w:sz w:val="28"/>
          <w:szCs w:val="28"/>
          <w:lang w:val="kk-KZ"/>
        </w:rPr>
        <w:t>ын жариялайды.</w:t>
      </w: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2E7C7F">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2E7C7F">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2E7C7F">
      <w:pPr>
        <w:pStyle w:val="a4"/>
        <w:numPr>
          <w:ilvl w:val="0"/>
          <w:numId w:val="1"/>
        </w:numPr>
        <w:ind w:left="0" w:firstLine="425"/>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2E7C7F">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2E7C7F">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2E7C7F" w:rsidRPr="00A05710" w:rsidRDefault="002E7C7F" w:rsidP="002E7C7F">
      <w:pPr>
        <w:pStyle w:val="HTML"/>
        <w:numPr>
          <w:ilvl w:val="0"/>
          <w:numId w:val="1"/>
        </w:numPr>
        <w:tabs>
          <w:tab w:val="clear" w:pos="1832"/>
          <w:tab w:val="clear" w:pos="2748"/>
          <w:tab w:val="left" w:pos="567"/>
          <w:tab w:val="left" w:pos="1418"/>
        </w:tabs>
        <w:ind w:left="0" w:firstLine="425"/>
        <w:jc w:val="both"/>
        <w:rPr>
          <w:rFonts w:ascii="Times New Roman" w:hAnsi="Times New Roman"/>
          <w:color w:val="FF0000"/>
          <w:sz w:val="28"/>
          <w:szCs w:val="28"/>
          <w:lang w:val="kk-KZ"/>
        </w:rPr>
      </w:pPr>
      <w:r w:rsidRPr="00A05710">
        <w:rPr>
          <w:rFonts w:ascii="Times New Roman" w:hAnsi="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sz w:val="28"/>
          <w:szCs w:val="28"/>
          <w:lang w:val="kk-KZ"/>
        </w:rPr>
        <w:t xml:space="preserve"> болып тіркелген)</w:t>
      </w:r>
      <w:r w:rsidRPr="00A05710">
        <w:rPr>
          <w:rFonts w:ascii="Times New Roman" w:hAnsi="Times New Roman"/>
          <w:sz w:val="28"/>
          <w:szCs w:val="28"/>
          <w:lang w:val="kk-KZ"/>
        </w:rPr>
        <w:t xml:space="preserve">; </w:t>
      </w:r>
    </w:p>
    <w:p w:rsidR="002E7C7F" w:rsidRPr="00DB6F69" w:rsidRDefault="002E7C7F" w:rsidP="002E7C7F">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2E7C7F">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sz w:val="28"/>
          <w:szCs w:val="28"/>
        </w:rPr>
      </w:pPr>
      <w:r w:rsidRPr="00DB6F69">
        <w:rPr>
          <w:rFonts w:ascii="Times New Roman" w:hAnsi="Times New Roman"/>
          <w:sz w:val="28"/>
          <w:szCs w:val="28"/>
          <w:lang w:val="kk-KZ"/>
        </w:rPr>
        <w:t xml:space="preserve">мемлекеттік білім беру тапсырысы бойынша балаларды қабылдайтын өнім берушінің заңға сәйкес республикалық маңызы бар қаланың, астананың </w:t>
      </w:r>
      <w:r w:rsidRPr="00DB6F69">
        <w:rPr>
          <w:rFonts w:ascii="Times New Roman" w:hAnsi="Times New Roman"/>
          <w:sz w:val="28"/>
          <w:szCs w:val="28"/>
          <w:lang w:val="kk-KZ"/>
        </w:rPr>
        <w:lastRenderedPageBreak/>
        <w:t>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2E7C7F">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sz w:val="28"/>
          <w:szCs w:val="28"/>
        </w:rPr>
      </w:pPr>
      <w:r w:rsidRPr="00DB6F69">
        <w:rPr>
          <w:rFonts w:ascii="Times New Roman" w:hAnsi="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E7C7F" w:rsidRDefault="002E7C7F" w:rsidP="002E7C7F">
      <w:pPr>
        <w:pStyle w:val="HTML"/>
        <w:ind w:firstLine="425"/>
        <w:jc w:val="both"/>
        <w:rPr>
          <w:rFonts w:ascii="Times New Roman" w:hAnsi="Times New Roman"/>
          <w:sz w:val="28"/>
          <w:szCs w:val="28"/>
          <w:lang w:val="kk-KZ"/>
        </w:rPr>
      </w:pPr>
    </w:p>
    <w:p w:rsidR="002E7C7F" w:rsidRPr="006F62BD" w:rsidRDefault="002E7C7F" w:rsidP="002E7C7F">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t>Өтініш формасы</w:t>
      </w:r>
      <w:r w:rsidRPr="006F62BD">
        <w:rPr>
          <w:rFonts w:ascii="Times New Roman" w:hAnsi="Times New Roman"/>
          <w:b/>
          <w:sz w:val="28"/>
          <w:szCs w:val="28"/>
          <w:lang w:val="kk-KZ"/>
        </w:rPr>
        <w:tab/>
      </w:r>
    </w:p>
    <w:p w:rsidR="002E7C7F" w:rsidRDefault="002E7C7F" w:rsidP="002E7C7F">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2E7C7F">
      <w:pPr>
        <w:pStyle w:val="HTML"/>
        <w:ind w:firstLine="919"/>
        <w:rPr>
          <w:rFonts w:ascii="Times New Roman" w:hAnsi="Times New Roman"/>
          <w:b/>
          <w:sz w:val="28"/>
          <w:szCs w:val="28"/>
          <w:lang w:val="kk-KZ"/>
        </w:rPr>
      </w:pP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2E7C7F">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2E7C7F">
      <w:pPr>
        <w:pStyle w:val="HTML"/>
        <w:jc w:val="center"/>
        <w:rPr>
          <w:rFonts w:ascii="Times New Roman" w:hAnsi="Times New Roman"/>
          <w:b/>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2E7C7F">
      <w:pPr>
        <w:pStyle w:val="HTML"/>
        <w:rPr>
          <w:rFonts w:ascii="Times New Roman" w:hAnsi="Times New Roman"/>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2E7C7F">
      <w:pPr>
        <w:pStyle w:val="HTML"/>
        <w:rPr>
          <w:rFonts w:ascii="Times New Roman" w:hAnsi="Times New Roman"/>
          <w:sz w:val="28"/>
          <w:szCs w:val="28"/>
          <w:lang w:val="kk-KZ"/>
        </w:rPr>
      </w:pPr>
    </w:p>
    <w:p w:rsidR="002E7C7F" w:rsidRDefault="002E7C7F" w:rsidP="002E7C7F">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2E7C7F">
      <w:pPr>
        <w:pStyle w:val="HTML"/>
        <w:rPr>
          <w:rFonts w:ascii="Times New Roman" w:hAnsi="Times New Roman"/>
          <w:sz w:val="28"/>
          <w:szCs w:val="28"/>
          <w:lang w:val="kk-KZ"/>
        </w:rPr>
      </w:pPr>
    </w:p>
    <w:p w:rsidR="002E7C7F" w:rsidRDefault="002E7C7F" w:rsidP="002E7C7F"/>
    <w:p w:rsidR="002E7C7F" w:rsidRPr="00520D63" w:rsidRDefault="002E7C7F" w:rsidP="002E7C7F">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23340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2E7C7F"/>
    <w:sectPr w:rsidR="003C3B51" w:rsidRPr="002E7C7F" w:rsidSect="00233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C0B26"/>
    <w:rsid w:val="00206C85"/>
    <w:rsid w:val="0023340E"/>
    <w:rsid w:val="002514F9"/>
    <w:rsid w:val="002E7C7F"/>
    <w:rsid w:val="003C3B51"/>
    <w:rsid w:val="003D3239"/>
    <w:rsid w:val="004032A0"/>
    <w:rsid w:val="00416117"/>
    <w:rsid w:val="00435D69"/>
    <w:rsid w:val="00521C0A"/>
    <w:rsid w:val="00527C34"/>
    <w:rsid w:val="00576882"/>
    <w:rsid w:val="00590C0C"/>
    <w:rsid w:val="005C55A4"/>
    <w:rsid w:val="0066257A"/>
    <w:rsid w:val="006836FD"/>
    <w:rsid w:val="006F224D"/>
    <w:rsid w:val="0072675E"/>
    <w:rsid w:val="00826CB2"/>
    <w:rsid w:val="008423AD"/>
    <w:rsid w:val="008A022F"/>
    <w:rsid w:val="008A75D7"/>
    <w:rsid w:val="009434CF"/>
    <w:rsid w:val="00953808"/>
    <w:rsid w:val="00966F86"/>
    <w:rsid w:val="009D0F06"/>
    <w:rsid w:val="00A54D1C"/>
    <w:rsid w:val="00A9245A"/>
    <w:rsid w:val="00AA0353"/>
    <w:rsid w:val="00AD5E80"/>
    <w:rsid w:val="00AE5B18"/>
    <w:rsid w:val="00AF7071"/>
    <w:rsid w:val="00C111CB"/>
    <w:rsid w:val="00C14573"/>
    <w:rsid w:val="00C22108"/>
    <w:rsid w:val="00C44905"/>
    <w:rsid w:val="00CF2739"/>
    <w:rsid w:val="00DD0619"/>
    <w:rsid w:val="00DF67C0"/>
    <w:rsid w:val="00F000B0"/>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5848</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2021-02-01T05:20:00Z</dcterms:created>
  <dcterms:modified xsi:type="dcterms:W3CDTF">2021-02-01T05:20:00Z</dcterms:modified>
</cp:coreProperties>
</file>